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908BB1B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687B05" w:rsidRPr="007B4034">
        <w:rPr>
          <w:rFonts w:ascii="Verdana" w:hAnsi="Verdana"/>
          <w:sz w:val="18"/>
          <w:szCs w:val="18"/>
        </w:rPr>
        <w:t xml:space="preserve">Jičín, </w:t>
      </w:r>
      <w:proofErr w:type="gramStart"/>
      <w:r w:rsidR="00687B05" w:rsidRPr="007B4034">
        <w:rPr>
          <w:rFonts w:ascii="Verdana" w:hAnsi="Verdana"/>
          <w:sz w:val="18"/>
          <w:szCs w:val="18"/>
        </w:rPr>
        <w:t>Svor - demolice</w:t>
      </w:r>
      <w:proofErr w:type="gramEnd"/>
      <w:r w:rsidR="00687B05" w:rsidRPr="007B4034">
        <w:rPr>
          <w:rFonts w:ascii="Verdana" w:hAnsi="Verdana"/>
          <w:sz w:val="18"/>
          <w:szCs w:val="18"/>
        </w:rPr>
        <w:t xml:space="preserve"> (provozní objekt, strážní domek)</w:t>
      </w:r>
      <w:r w:rsidR="00687B05" w:rsidRPr="0048168E">
        <w:rPr>
          <w:rFonts w:ascii="Verdana" w:hAnsi="Verdana"/>
          <w:sz w:val="18"/>
          <w:szCs w:val="18"/>
        </w:rPr>
        <w:t xml:space="preserve"> </w:t>
      </w:r>
      <w:r w:rsidRPr="0048168E">
        <w:rPr>
          <w:rFonts w:ascii="Verdana" w:hAnsi="Verdana"/>
          <w:sz w:val="18"/>
          <w:szCs w:val="18"/>
        </w:rPr>
        <w:t>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„[Osoba s vypracovaným individuálním akčním plánem / Osoby nekvalifikovaná či s nízkou </w:t>
            </w:r>
            <w:proofErr w:type="gramStart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</w:t>
            </w:r>
            <w:proofErr w:type="gramEnd"/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844EC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E583A" w:rsidRPr="00CE583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17ED80C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E583A">
      <w:fldChar w:fldCharType="begin"/>
    </w:r>
    <w:r w:rsidR="00CE583A">
      <w:instrText xml:space="preserve"> SECTIONPAGES  \* Arabic  \* MERGEFORMAT </w:instrText>
    </w:r>
    <w:r w:rsidR="00CE583A">
      <w:fldChar w:fldCharType="separate"/>
    </w:r>
    <w:r w:rsidR="00CE583A" w:rsidRPr="00CE583A">
      <w:rPr>
        <w:rFonts w:cs="Arial"/>
        <w:noProof/>
        <w:sz w:val="14"/>
        <w:szCs w:val="14"/>
      </w:rPr>
      <w:t>2</w:t>
    </w:r>
    <w:r w:rsidR="00CE583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87B05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E583A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2018-03-26T11:24:00Z</cp:lastPrinted>
  <dcterms:created xsi:type="dcterms:W3CDTF">2023-08-15T13:39:00Z</dcterms:created>
  <dcterms:modified xsi:type="dcterms:W3CDTF">2024-03-08T09:21:00Z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